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5B1" w:rsidRPr="007249E3" w:rsidRDefault="003707CB" w:rsidP="000B45D2">
      <w:pPr>
        <w:pStyle w:val="a3"/>
        <w:jc w:val="center"/>
        <w:rPr>
          <w:lang w:val="en-US"/>
        </w:rPr>
      </w:pPr>
      <w:r>
        <w:rPr>
          <w:lang w:val="en-US"/>
        </w:rPr>
        <w:t>Corporate action notice/Insider information disclosure</w:t>
      </w:r>
    </w:p>
    <w:p w:rsidR="008705B1" w:rsidRPr="007249E3" w:rsidRDefault="003707CB" w:rsidP="003707CB">
      <w:pPr>
        <w:pStyle w:val="a3"/>
        <w:spacing w:after="120"/>
        <w:jc w:val="center"/>
        <w:rPr>
          <w:lang w:val="en-US"/>
        </w:rPr>
      </w:pPr>
      <w:r>
        <w:rPr>
          <w:lang w:val="en-US"/>
        </w:rPr>
        <w:t>"Information on resolutions taken by the Board of Directors of IDGC of the South, PJSC"</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06"/>
        <w:gridCol w:w="1454"/>
        <w:gridCol w:w="1304"/>
        <w:gridCol w:w="2696"/>
      </w:tblGrid>
      <w:tr w:rsidR="00CB549C" w:rsidTr="000B45D2">
        <w:trPr>
          <w:trHeight w:val="20"/>
        </w:trPr>
        <w:tc>
          <w:tcPr>
            <w:tcW w:w="5000" w:type="pct"/>
            <w:gridSpan w:val="4"/>
          </w:tcPr>
          <w:p w:rsidR="008705B1" w:rsidRDefault="003707CB" w:rsidP="003707CB">
            <w:pPr>
              <w:pStyle w:val="TableParagraph"/>
              <w:ind w:left="0"/>
              <w:jc w:val="center"/>
              <w:rPr>
                <w:sz w:val="24"/>
              </w:rPr>
            </w:pPr>
            <w:r>
              <w:rPr>
                <w:sz w:val="24"/>
                <w:lang w:val="en-US"/>
              </w:rPr>
              <w:t>1. General</w:t>
            </w:r>
          </w:p>
        </w:tc>
      </w:tr>
      <w:tr w:rsidR="00CB549C" w:rsidRPr="007249E3" w:rsidTr="000B45D2">
        <w:trPr>
          <w:trHeight w:val="20"/>
        </w:trPr>
        <w:tc>
          <w:tcPr>
            <w:tcW w:w="2206" w:type="pct"/>
          </w:tcPr>
          <w:p w:rsidR="008705B1" w:rsidRPr="007249E3" w:rsidRDefault="003707CB" w:rsidP="000B45D2">
            <w:pPr>
              <w:pStyle w:val="TableParagraph"/>
              <w:ind w:left="0"/>
              <w:rPr>
                <w:sz w:val="24"/>
                <w:lang w:val="en-US"/>
              </w:rPr>
            </w:pPr>
            <w:r>
              <w:rPr>
                <w:sz w:val="24"/>
                <w:lang w:val="en-US"/>
              </w:rPr>
              <w:t>1.1. Full corporate name of the Issuer:</w:t>
            </w:r>
          </w:p>
        </w:tc>
        <w:tc>
          <w:tcPr>
            <w:tcW w:w="2794" w:type="pct"/>
            <w:gridSpan w:val="3"/>
          </w:tcPr>
          <w:p w:rsidR="008705B1" w:rsidRPr="007249E3" w:rsidRDefault="003707CB" w:rsidP="000B45D2">
            <w:pPr>
              <w:pStyle w:val="TableParagraph"/>
              <w:tabs>
                <w:tab w:val="left" w:pos="2083"/>
                <w:tab w:val="left" w:pos="4194"/>
              </w:tabs>
              <w:ind w:left="0"/>
              <w:rPr>
                <w:b/>
                <w:sz w:val="24"/>
                <w:lang w:val="en-US"/>
              </w:rPr>
            </w:pPr>
            <w:r>
              <w:rPr>
                <w:b/>
                <w:sz w:val="24"/>
                <w:lang w:val="en-US"/>
              </w:rPr>
              <w:t>Public Joint Stock Company "Interregional Distribution Grid Company of the South”</w:t>
            </w:r>
          </w:p>
        </w:tc>
      </w:tr>
      <w:tr w:rsidR="00CB549C" w:rsidRPr="007249E3" w:rsidTr="000B45D2">
        <w:trPr>
          <w:trHeight w:val="20"/>
        </w:trPr>
        <w:tc>
          <w:tcPr>
            <w:tcW w:w="2206" w:type="pct"/>
          </w:tcPr>
          <w:p w:rsidR="008705B1" w:rsidRPr="007249E3" w:rsidRDefault="003707CB" w:rsidP="000B45D2">
            <w:pPr>
              <w:pStyle w:val="TableParagraph"/>
              <w:tabs>
                <w:tab w:val="left" w:pos="2935"/>
              </w:tabs>
              <w:ind w:left="0"/>
              <w:rPr>
                <w:sz w:val="24"/>
                <w:lang w:val="en-US"/>
              </w:rPr>
            </w:pPr>
            <w:r>
              <w:rPr>
                <w:sz w:val="24"/>
                <w:lang w:val="en-US"/>
              </w:rPr>
              <w:t>1.2. Abbreviated corporate name of the Issuer:</w:t>
            </w:r>
          </w:p>
        </w:tc>
        <w:tc>
          <w:tcPr>
            <w:tcW w:w="2794" w:type="pct"/>
            <w:gridSpan w:val="3"/>
          </w:tcPr>
          <w:p w:rsidR="008705B1" w:rsidRPr="007249E3" w:rsidRDefault="003707CB" w:rsidP="000B45D2">
            <w:pPr>
              <w:pStyle w:val="TableParagraph"/>
              <w:ind w:left="0"/>
              <w:rPr>
                <w:b/>
                <w:sz w:val="24"/>
                <w:lang w:val="en-US"/>
              </w:rPr>
            </w:pPr>
            <w:r>
              <w:rPr>
                <w:b/>
                <w:sz w:val="24"/>
                <w:lang w:val="en-US"/>
              </w:rPr>
              <w:t>IDGC of the South, PJSC</w:t>
            </w:r>
          </w:p>
        </w:tc>
      </w:tr>
      <w:tr w:rsidR="00CB549C" w:rsidRPr="007249E3" w:rsidTr="000B45D2">
        <w:trPr>
          <w:trHeight w:val="20"/>
        </w:trPr>
        <w:tc>
          <w:tcPr>
            <w:tcW w:w="2206" w:type="pct"/>
          </w:tcPr>
          <w:p w:rsidR="008705B1" w:rsidRDefault="003707CB" w:rsidP="000B45D2">
            <w:pPr>
              <w:pStyle w:val="TableParagraph"/>
              <w:ind w:left="0"/>
              <w:rPr>
                <w:sz w:val="24"/>
              </w:rPr>
            </w:pPr>
            <w:r>
              <w:rPr>
                <w:sz w:val="24"/>
                <w:lang w:val="en-US"/>
              </w:rPr>
              <w:t>1.3. Location of the Issuer:</w:t>
            </w:r>
          </w:p>
        </w:tc>
        <w:tc>
          <w:tcPr>
            <w:tcW w:w="2794" w:type="pct"/>
            <w:gridSpan w:val="3"/>
          </w:tcPr>
          <w:p w:rsidR="008705B1" w:rsidRPr="007249E3" w:rsidRDefault="003707CB" w:rsidP="000B45D2">
            <w:pPr>
              <w:pStyle w:val="TableParagraph"/>
              <w:ind w:left="0"/>
              <w:rPr>
                <w:b/>
                <w:sz w:val="24"/>
                <w:lang w:val="en-US"/>
              </w:rPr>
            </w:pPr>
            <w:r>
              <w:rPr>
                <w:b/>
                <w:sz w:val="24"/>
                <w:lang w:val="en-US"/>
              </w:rPr>
              <w:t>Rostov-on-Don, Russian Federation</w:t>
            </w:r>
          </w:p>
        </w:tc>
      </w:tr>
      <w:tr w:rsidR="00CB549C" w:rsidTr="000B45D2">
        <w:trPr>
          <w:trHeight w:val="20"/>
        </w:trPr>
        <w:tc>
          <w:tcPr>
            <w:tcW w:w="2206" w:type="pct"/>
          </w:tcPr>
          <w:p w:rsidR="008705B1" w:rsidRDefault="003707CB" w:rsidP="000B45D2">
            <w:pPr>
              <w:pStyle w:val="TableParagraph"/>
              <w:ind w:left="0"/>
              <w:rPr>
                <w:sz w:val="24"/>
              </w:rPr>
            </w:pPr>
            <w:r>
              <w:rPr>
                <w:sz w:val="24"/>
                <w:lang w:val="en-US"/>
              </w:rPr>
              <w:t>1.4. OGRN of the Issuer:</w:t>
            </w:r>
          </w:p>
        </w:tc>
        <w:tc>
          <w:tcPr>
            <w:tcW w:w="2794" w:type="pct"/>
            <w:gridSpan w:val="3"/>
          </w:tcPr>
          <w:p w:rsidR="008705B1" w:rsidRDefault="003707CB" w:rsidP="000B45D2">
            <w:pPr>
              <w:pStyle w:val="TableParagraph"/>
              <w:ind w:left="0"/>
              <w:rPr>
                <w:b/>
                <w:sz w:val="24"/>
              </w:rPr>
            </w:pPr>
            <w:r>
              <w:rPr>
                <w:b/>
                <w:sz w:val="24"/>
                <w:lang w:val="en-US"/>
              </w:rPr>
              <w:t>1076164009096</w:t>
            </w:r>
          </w:p>
        </w:tc>
      </w:tr>
      <w:tr w:rsidR="00CB549C" w:rsidTr="000B45D2">
        <w:trPr>
          <w:trHeight w:val="20"/>
        </w:trPr>
        <w:tc>
          <w:tcPr>
            <w:tcW w:w="2206" w:type="pct"/>
          </w:tcPr>
          <w:p w:rsidR="008705B1" w:rsidRDefault="003707CB" w:rsidP="000B45D2">
            <w:pPr>
              <w:pStyle w:val="TableParagraph"/>
              <w:ind w:left="0"/>
              <w:rPr>
                <w:sz w:val="24"/>
              </w:rPr>
            </w:pPr>
            <w:r>
              <w:rPr>
                <w:sz w:val="24"/>
                <w:lang w:val="en-US"/>
              </w:rPr>
              <w:t>1.5. TIN of the Issuer:</w:t>
            </w:r>
          </w:p>
        </w:tc>
        <w:tc>
          <w:tcPr>
            <w:tcW w:w="2794" w:type="pct"/>
            <w:gridSpan w:val="3"/>
          </w:tcPr>
          <w:p w:rsidR="008705B1" w:rsidRDefault="003707CB" w:rsidP="000B45D2">
            <w:pPr>
              <w:pStyle w:val="TableParagraph"/>
              <w:ind w:left="0"/>
              <w:rPr>
                <w:b/>
                <w:sz w:val="24"/>
              </w:rPr>
            </w:pPr>
            <w:r>
              <w:rPr>
                <w:b/>
                <w:sz w:val="24"/>
                <w:lang w:val="en-US"/>
              </w:rPr>
              <w:t>6164266561</w:t>
            </w:r>
          </w:p>
        </w:tc>
      </w:tr>
      <w:tr w:rsidR="00CB549C" w:rsidTr="000B45D2">
        <w:trPr>
          <w:trHeight w:val="20"/>
        </w:trPr>
        <w:tc>
          <w:tcPr>
            <w:tcW w:w="2206" w:type="pct"/>
          </w:tcPr>
          <w:p w:rsidR="008705B1" w:rsidRPr="007249E3" w:rsidRDefault="003707CB" w:rsidP="000B45D2">
            <w:pPr>
              <w:pStyle w:val="TableParagraph"/>
              <w:tabs>
                <w:tab w:val="left" w:pos="2307"/>
                <w:tab w:val="left" w:pos="3086"/>
              </w:tabs>
              <w:ind w:left="0"/>
              <w:rPr>
                <w:sz w:val="24"/>
                <w:lang w:val="en-US"/>
              </w:rPr>
            </w:pPr>
            <w:r>
              <w:rPr>
                <w:sz w:val="24"/>
                <w:lang w:val="en-US"/>
              </w:rPr>
              <w:t>1.6. Unique code of the Issuer, assigned by the registering authority:</w:t>
            </w:r>
          </w:p>
        </w:tc>
        <w:tc>
          <w:tcPr>
            <w:tcW w:w="2794" w:type="pct"/>
            <w:gridSpan w:val="3"/>
          </w:tcPr>
          <w:p w:rsidR="008705B1" w:rsidRDefault="003707CB" w:rsidP="000B45D2">
            <w:pPr>
              <w:pStyle w:val="TableParagraph"/>
              <w:ind w:left="0"/>
              <w:rPr>
                <w:b/>
                <w:sz w:val="24"/>
              </w:rPr>
            </w:pPr>
            <w:r>
              <w:rPr>
                <w:b/>
                <w:sz w:val="24"/>
                <w:lang w:val="en-US"/>
              </w:rPr>
              <w:t>34956-Е</w:t>
            </w:r>
          </w:p>
        </w:tc>
      </w:tr>
      <w:tr w:rsidR="00CB549C" w:rsidRPr="007249E3" w:rsidTr="000B45D2">
        <w:trPr>
          <w:trHeight w:val="20"/>
        </w:trPr>
        <w:tc>
          <w:tcPr>
            <w:tcW w:w="2206" w:type="pct"/>
          </w:tcPr>
          <w:p w:rsidR="008705B1" w:rsidRPr="007249E3" w:rsidRDefault="003707CB" w:rsidP="000B45D2">
            <w:pPr>
              <w:pStyle w:val="TableParagraph"/>
              <w:tabs>
                <w:tab w:val="left" w:pos="2112"/>
                <w:tab w:val="left" w:pos="3727"/>
              </w:tabs>
              <w:ind w:left="0"/>
              <w:rPr>
                <w:sz w:val="24"/>
                <w:lang w:val="en-US"/>
              </w:rPr>
            </w:pPr>
            <w:r>
              <w:rPr>
                <w:sz w:val="24"/>
                <w:lang w:val="en-US"/>
              </w:rPr>
              <w:t>1.7. The address of the Internet page used by the Issuer for information disclosures</w:t>
            </w:r>
          </w:p>
        </w:tc>
        <w:tc>
          <w:tcPr>
            <w:tcW w:w="2794" w:type="pct"/>
            <w:gridSpan w:val="3"/>
          </w:tcPr>
          <w:p w:rsidR="000B45D2" w:rsidRPr="007249E3" w:rsidRDefault="007249E3" w:rsidP="000B45D2">
            <w:pPr>
              <w:pStyle w:val="TableParagraph"/>
              <w:ind w:left="0"/>
              <w:rPr>
                <w:b/>
                <w:sz w:val="24"/>
                <w:lang w:val="en-US"/>
              </w:rPr>
            </w:pPr>
            <w:hyperlink r:id="rId7" w:history="1">
              <w:r w:rsidR="003707CB">
                <w:rPr>
                  <w:b/>
                  <w:sz w:val="24"/>
                  <w:u w:val="thick"/>
                  <w:lang w:val="en-US"/>
                </w:rPr>
                <w:t>http</w:t>
              </w:r>
              <w:r w:rsidR="003707CB" w:rsidRPr="007249E3">
                <w:rPr>
                  <w:b/>
                  <w:sz w:val="24"/>
                  <w:u w:val="thick"/>
                  <w:lang w:val="en-US"/>
                </w:rPr>
                <w:t>://</w:t>
              </w:r>
              <w:r w:rsidR="003707CB">
                <w:rPr>
                  <w:b/>
                  <w:sz w:val="24"/>
                  <w:u w:val="thick"/>
                  <w:lang w:val="en-US"/>
                </w:rPr>
                <w:t>www</w:t>
              </w:r>
              <w:r w:rsidR="003707CB" w:rsidRPr="007249E3">
                <w:rPr>
                  <w:b/>
                  <w:sz w:val="24"/>
                  <w:u w:val="thick"/>
                  <w:lang w:val="en-US"/>
                </w:rPr>
                <w:t>.</w:t>
              </w:r>
              <w:r w:rsidR="003707CB">
                <w:rPr>
                  <w:b/>
                  <w:sz w:val="24"/>
                  <w:u w:val="thick"/>
                  <w:lang w:val="en-US"/>
                </w:rPr>
                <w:t>mrsk</w:t>
              </w:r>
              <w:r w:rsidR="003707CB" w:rsidRPr="007249E3">
                <w:rPr>
                  <w:b/>
                  <w:sz w:val="24"/>
                  <w:u w:val="thick"/>
                  <w:lang w:val="en-US"/>
                </w:rPr>
                <w:t>-</w:t>
              </w:r>
              <w:r w:rsidR="003707CB">
                <w:rPr>
                  <w:b/>
                  <w:sz w:val="24"/>
                  <w:u w:val="thick"/>
                  <w:lang w:val="en-US"/>
                </w:rPr>
                <w:t>yuga</w:t>
              </w:r>
              <w:r w:rsidR="003707CB" w:rsidRPr="007249E3">
                <w:rPr>
                  <w:b/>
                  <w:sz w:val="24"/>
                  <w:u w:val="thick"/>
                  <w:lang w:val="en-US"/>
                </w:rPr>
                <w:t>.</w:t>
              </w:r>
              <w:r w:rsidR="003707CB">
                <w:rPr>
                  <w:b/>
                  <w:sz w:val="24"/>
                  <w:u w:val="thick"/>
                  <w:lang w:val="en-US"/>
                </w:rPr>
                <w:t>ru</w:t>
              </w:r>
            </w:hyperlink>
            <w:r w:rsidR="003707CB" w:rsidRPr="007249E3">
              <w:rPr>
                <w:b/>
                <w:sz w:val="24"/>
                <w:lang w:val="en-US"/>
              </w:rPr>
              <w:t xml:space="preserve"> </w:t>
            </w:r>
          </w:p>
          <w:p w:rsidR="008705B1" w:rsidRPr="007249E3" w:rsidRDefault="007249E3" w:rsidP="000B45D2">
            <w:pPr>
              <w:pStyle w:val="TableParagraph"/>
              <w:ind w:left="0"/>
              <w:rPr>
                <w:b/>
                <w:sz w:val="24"/>
                <w:lang w:val="en-US"/>
              </w:rPr>
            </w:pPr>
            <w:hyperlink r:id="rId8" w:history="1">
              <w:r w:rsidR="003707CB">
                <w:rPr>
                  <w:b/>
                  <w:sz w:val="24"/>
                  <w:u w:val="thick"/>
                  <w:lang w:val="en-US"/>
                </w:rPr>
                <w:t>http</w:t>
              </w:r>
              <w:r w:rsidR="003707CB" w:rsidRPr="007249E3">
                <w:rPr>
                  <w:b/>
                  <w:sz w:val="24"/>
                  <w:u w:val="thick"/>
                  <w:lang w:val="en-US"/>
                </w:rPr>
                <w:t>://</w:t>
              </w:r>
              <w:r w:rsidR="003707CB">
                <w:rPr>
                  <w:b/>
                  <w:sz w:val="24"/>
                  <w:u w:val="thick"/>
                  <w:lang w:val="en-US"/>
                </w:rPr>
                <w:t>www</w:t>
              </w:r>
              <w:r w:rsidR="003707CB" w:rsidRPr="007249E3">
                <w:rPr>
                  <w:b/>
                  <w:sz w:val="24"/>
                  <w:u w:val="thick"/>
                  <w:lang w:val="en-US"/>
                </w:rPr>
                <w:t>.</w:t>
              </w:r>
              <w:r w:rsidR="003707CB">
                <w:rPr>
                  <w:b/>
                  <w:sz w:val="24"/>
                  <w:u w:val="thick"/>
                  <w:lang w:val="en-US"/>
                </w:rPr>
                <w:t>e</w:t>
              </w:r>
              <w:r w:rsidR="003707CB" w:rsidRPr="007249E3">
                <w:rPr>
                  <w:b/>
                  <w:sz w:val="24"/>
                  <w:u w:val="thick"/>
                  <w:lang w:val="en-US"/>
                </w:rPr>
                <w:t>-</w:t>
              </w:r>
            </w:hyperlink>
            <w:hyperlink r:id="rId9" w:history="1">
              <w:r w:rsidR="003707CB" w:rsidRPr="000B45D2">
                <w:rPr>
                  <w:b/>
                  <w:sz w:val="24"/>
                  <w:u w:val="thick"/>
                  <w:lang w:val="en-US"/>
                </w:rPr>
                <w:t>disclosure</w:t>
              </w:r>
              <w:r w:rsidR="003707CB" w:rsidRPr="007249E3">
                <w:rPr>
                  <w:b/>
                  <w:sz w:val="24"/>
                  <w:u w:val="thick"/>
                  <w:lang w:val="en-US"/>
                </w:rPr>
                <w:t>.</w:t>
              </w:r>
              <w:r w:rsidR="003707CB" w:rsidRPr="000B45D2">
                <w:rPr>
                  <w:b/>
                  <w:sz w:val="24"/>
                  <w:u w:val="thick"/>
                  <w:lang w:val="en-US"/>
                </w:rPr>
                <w:t>ru</w:t>
              </w:r>
              <w:r w:rsidR="003707CB" w:rsidRPr="007249E3">
                <w:rPr>
                  <w:b/>
                  <w:sz w:val="24"/>
                  <w:u w:val="thick"/>
                  <w:lang w:val="en-US"/>
                </w:rPr>
                <w:t>/</w:t>
              </w:r>
              <w:r w:rsidR="003707CB" w:rsidRPr="000B45D2">
                <w:rPr>
                  <w:b/>
                  <w:sz w:val="24"/>
                  <w:u w:val="thick"/>
                  <w:lang w:val="en-US"/>
                </w:rPr>
                <w:t>portal</w:t>
              </w:r>
              <w:r w:rsidR="003707CB" w:rsidRPr="007249E3">
                <w:rPr>
                  <w:b/>
                  <w:sz w:val="24"/>
                  <w:u w:val="thick"/>
                  <w:lang w:val="en-US"/>
                </w:rPr>
                <w:t>/</w:t>
              </w:r>
              <w:r w:rsidR="003707CB" w:rsidRPr="000B45D2">
                <w:rPr>
                  <w:b/>
                  <w:sz w:val="24"/>
                  <w:u w:val="thick"/>
                  <w:lang w:val="en-US"/>
                </w:rPr>
                <w:t>company</w:t>
              </w:r>
              <w:r w:rsidR="003707CB" w:rsidRPr="007249E3">
                <w:rPr>
                  <w:b/>
                  <w:sz w:val="24"/>
                  <w:u w:val="thick"/>
                  <w:lang w:val="en-US"/>
                </w:rPr>
                <w:t>.</w:t>
              </w:r>
              <w:r w:rsidR="003707CB" w:rsidRPr="000B45D2">
                <w:rPr>
                  <w:b/>
                  <w:sz w:val="24"/>
                  <w:u w:val="thick"/>
                  <w:lang w:val="en-US"/>
                </w:rPr>
                <w:t>aspx</w:t>
              </w:r>
              <w:r w:rsidR="003707CB" w:rsidRPr="007249E3">
                <w:rPr>
                  <w:b/>
                  <w:sz w:val="24"/>
                  <w:u w:val="thick"/>
                  <w:lang w:val="en-US"/>
                </w:rPr>
                <w:t>?</w:t>
              </w:r>
              <w:r w:rsidR="003707CB" w:rsidRPr="000B45D2">
                <w:rPr>
                  <w:b/>
                  <w:sz w:val="24"/>
                  <w:u w:val="thick"/>
                  <w:lang w:val="en-US"/>
                </w:rPr>
                <w:t>id</w:t>
              </w:r>
              <w:r w:rsidR="003707CB" w:rsidRPr="007249E3">
                <w:rPr>
                  <w:b/>
                  <w:sz w:val="24"/>
                  <w:u w:val="thick"/>
                  <w:lang w:val="en-US"/>
                </w:rPr>
                <w:t>=11999</w:t>
              </w:r>
            </w:hyperlink>
          </w:p>
        </w:tc>
      </w:tr>
      <w:tr w:rsidR="00CB549C" w:rsidTr="000B45D2">
        <w:trPr>
          <w:trHeight w:val="20"/>
        </w:trPr>
        <w:tc>
          <w:tcPr>
            <w:tcW w:w="2206" w:type="pct"/>
          </w:tcPr>
          <w:p w:rsidR="008705B1" w:rsidRPr="007249E3" w:rsidRDefault="003707CB" w:rsidP="000B45D2">
            <w:pPr>
              <w:pStyle w:val="TableParagraph"/>
              <w:ind w:left="0"/>
              <w:jc w:val="both"/>
              <w:rPr>
                <w:sz w:val="24"/>
                <w:lang w:val="en-US"/>
              </w:rPr>
            </w:pPr>
            <w:r>
              <w:rPr>
                <w:sz w:val="24"/>
                <w:lang w:val="en-US"/>
              </w:rPr>
              <w:t>1.8. Event effective date (material fact) of which the message is composed (if applicable):</w:t>
            </w:r>
          </w:p>
        </w:tc>
        <w:tc>
          <w:tcPr>
            <w:tcW w:w="2794" w:type="pct"/>
            <w:gridSpan w:val="3"/>
            <w:vAlign w:val="center"/>
          </w:tcPr>
          <w:p w:rsidR="008705B1" w:rsidRDefault="003707CB" w:rsidP="000B45D2">
            <w:pPr>
              <w:pStyle w:val="TableParagraph"/>
              <w:ind w:left="0"/>
              <w:rPr>
                <w:b/>
                <w:sz w:val="24"/>
              </w:rPr>
            </w:pPr>
            <w:r>
              <w:rPr>
                <w:b/>
                <w:sz w:val="24"/>
                <w:lang w:val="en-US"/>
              </w:rPr>
              <w:t>March 4, 2019</w:t>
            </w:r>
          </w:p>
        </w:tc>
      </w:tr>
      <w:tr w:rsidR="00CB549C" w:rsidTr="000B45D2">
        <w:trPr>
          <w:trHeight w:val="20"/>
        </w:trPr>
        <w:tc>
          <w:tcPr>
            <w:tcW w:w="5000" w:type="pct"/>
            <w:gridSpan w:val="4"/>
          </w:tcPr>
          <w:p w:rsidR="008705B1" w:rsidRDefault="003707CB" w:rsidP="003707CB">
            <w:pPr>
              <w:pStyle w:val="TableParagraph"/>
              <w:ind w:left="0"/>
              <w:jc w:val="center"/>
              <w:rPr>
                <w:sz w:val="24"/>
              </w:rPr>
            </w:pPr>
            <w:r>
              <w:rPr>
                <w:sz w:val="24"/>
                <w:lang w:val="en-US"/>
              </w:rPr>
              <w:t>2. Notice content</w:t>
            </w:r>
          </w:p>
        </w:tc>
      </w:tr>
      <w:tr w:rsidR="00CB549C" w:rsidTr="000B45D2">
        <w:trPr>
          <w:trHeight w:val="20"/>
        </w:trPr>
        <w:tc>
          <w:tcPr>
            <w:tcW w:w="5000" w:type="pct"/>
            <w:gridSpan w:val="4"/>
          </w:tcPr>
          <w:p w:rsidR="008705B1" w:rsidRPr="007249E3" w:rsidRDefault="003707CB" w:rsidP="000B45D2">
            <w:pPr>
              <w:pStyle w:val="TableParagraph"/>
              <w:ind w:left="0"/>
              <w:jc w:val="both"/>
              <w:rPr>
                <w:b/>
                <w:i/>
                <w:sz w:val="24"/>
                <w:lang w:val="en-US"/>
              </w:rPr>
            </w:pPr>
            <w:r>
              <w:rPr>
                <w:sz w:val="24"/>
                <w:lang w:val="en-US"/>
              </w:rPr>
              <w:t xml:space="preserve">2.1. Quorum for a meeting of the Issuer's Board of Directors and the results of voting on decision-making issues: </w:t>
            </w:r>
            <w:r>
              <w:rPr>
                <w:b/>
                <w:i/>
                <w:sz w:val="24"/>
                <w:lang w:val="en-US"/>
              </w:rPr>
              <w:t>11 out of 11 members of the Board of Directors participated in the meeting, a quorum is present.</w:t>
            </w:r>
          </w:p>
          <w:p w:rsidR="008705B1" w:rsidRPr="007249E3" w:rsidRDefault="007249E3" w:rsidP="000B45D2">
            <w:pPr>
              <w:pStyle w:val="TableParagraph"/>
              <w:ind w:left="0"/>
              <w:jc w:val="both"/>
              <w:rPr>
                <w:b/>
                <w:lang w:val="en-US"/>
              </w:rPr>
            </w:pPr>
          </w:p>
          <w:p w:rsidR="008705B1" w:rsidRPr="007249E3" w:rsidRDefault="003707CB" w:rsidP="000B45D2">
            <w:pPr>
              <w:pStyle w:val="TableParagraph"/>
              <w:ind w:left="0"/>
              <w:jc w:val="both"/>
              <w:rPr>
                <w:sz w:val="24"/>
                <w:lang w:val="en-US"/>
              </w:rPr>
            </w:pPr>
            <w:r>
              <w:rPr>
                <w:sz w:val="24"/>
                <w:lang w:val="en-US"/>
              </w:rPr>
              <w:t>Voting results:</w:t>
            </w:r>
          </w:p>
          <w:p w:rsidR="008705B1" w:rsidRPr="007249E3" w:rsidRDefault="003707CB" w:rsidP="000B45D2">
            <w:pPr>
              <w:pStyle w:val="TableParagraph"/>
              <w:ind w:left="0"/>
              <w:jc w:val="both"/>
              <w:rPr>
                <w:sz w:val="24"/>
                <w:lang w:val="en-US"/>
              </w:rPr>
            </w:pPr>
            <w:r>
              <w:rPr>
                <w:b/>
                <w:sz w:val="24"/>
                <w:lang w:val="en-US"/>
              </w:rPr>
              <w:t xml:space="preserve">on issue No. 1 of the </w:t>
            </w:r>
            <w:r>
              <w:rPr>
                <w:sz w:val="24"/>
                <w:lang w:val="en-US"/>
              </w:rPr>
              <w:t>agenda:</w:t>
            </w:r>
          </w:p>
          <w:p w:rsidR="008705B1" w:rsidRPr="007249E3" w:rsidRDefault="003707CB" w:rsidP="000B45D2">
            <w:pPr>
              <w:pStyle w:val="TableParagraph"/>
              <w:ind w:left="0"/>
              <w:jc w:val="both"/>
              <w:rPr>
                <w:sz w:val="24"/>
                <w:lang w:val="en-US"/>
              </w:rPr>
            </w:pPr>
            <w:r>
              <w:rPr>
                <w:sz w:val="24"/>
                <w:lang w:val="en-US"/>
              </w:rPr>
              <w:t>"PRO" is 10 votes;</w:t>
            </w:r>
          </w:p>
          <w:p w:rsidR="008705B1" w:rsidRPr="007249E3" w:rsidRDefault="003707CB" w:rsidP="000B45D2">
            <w:pPr>
              <w:pStyle w:val="TableParagraph"/>
              <w:ind w:left="0"/>
              <w:jc w:val="both"/>
              <w:rPr>
                <w:sz w:val="24"/>
                <w:lang w:val="en-US"/>
              </w:rPr>
            </w:pPr>
            <w:r>
              <w:rPr>
                <w:sz w:val="24"/>
                <w:lang w:val="en-US"/>
              </w:rPr>
              <w:t>"CON" is 0 votes;</w:t>
            </w:r>
          </w:p>
          <w:p w:rsidR="008705B1" w:rsidRPr="007249E3" w:rsidRDefault="003707CB" w:rsidP="000B45D2">
            <w:pPr>
              <w:pStyle w:val="TableParagraph"/>
              <w:ind w:left="0"/>
              <w:jc w:val="both"/>
              <w:rPr>
                <w:sz w:val="24"/>
                <w:lang w:val="en-US"/>
              </w:rPr>
            </w:pPr>
            <w:r>
              <w:rPr>
                <w:sz w:val="24"/>
                <w:lang w:val="en-US"/>
              </w:rPr>
              <w:t>"ABSTAIN" is 1 vote;</w:t>
            </w:r>
          </w:p>
          <w:p w:rsidR="008705B1" w:rsidRPr="007249E3" w:rsidRDefault="003707CB" w:rsidP="000B45D2">
            <w:pPr>
              <w:pStyle w:val="TableParagraph"/>
              <w:ind w:left="0"/>
              <w:jc w:val="both"/>
              <w:rPr>
                <w:sz w:val="24"/>
                <w:lang w:val="en-US"/>
              </w:rPr>
            </w:pPr>
            <w:r>
              <w:rPr>
                <w:b/>
                <w:sz w:val="24"/>
                <w:lang w:val="en-US"/>
              </w:rPr>
              <w:t xml:space="preserve">on issue No. 2 of the </w:t>
            </w:r>
            <w:r>
              <w:rPr>
                <w:sz w:val="24"/>
                <w:lang w:val="en-US"/>
              </w:rPr>
              <w:t>agenda:</w:t>
            </w:r>
          </w:p>
          <w:p w:rsidR="008705B1" w:rsidRPr="007249E3" w:rsidRDefault="003707CB" w:rsidP="000B45D2">
            <w:pPr>
              <w:pStyle w:val="TableParagraph"/>
              <w:ind w:left="0"/>
              <w:jc w:val="both"/>
              <w:rPr>
                <w:sz w:val="24"/>
                <w:lang w:val="en-US"/>
              </w:rPr>
            </w:pPr>
            <w:r>
              <w:rPr>
                <w:sz w:val="24"/>
                <w:lang w:val="en-US"/>
              </w:rPr>
              <w:t>"PRO" is 10 votes;</w:t>
            </w:r>
          </w:p>
          <w:p w:rsidR="008705B1" w:rsidRPr="007249E3" w:rsidRDefault="003707CB" w:rsidP="000B45D2">
            <w:pPr>
              <w:pStyle w:val="TableParagraph"/>
              <w:ind w:left="0"/>
              <w:jc w:val="both"/>
              <w:rPr>
                <w:sz w:val="24"/>
                <w:lang w:val="en-US"/>
              </w:rPr>
            </w:pPr>
            <w:r>
              <w:rPr>
                <w:sz w:val="24"/>
                <w:lang w:val="en-US"/>
              </w:rPr>
              <w:t>"CON" is 0 votes;</w:t>
            </w:r>
          </w:p>
          <w:p w:rsidR="008705B1" w:rsidRPr="007249E3" w:rsidRDefault="003707CB" w:rsidP="000B45D2">
            <w:pPr>
              <w:pStyle w:val="TableParagraph"/>
              <w:ind w:left="0"/>
              <w:jc w:val="both"/>
              <w:rPr>
                <w:sz w:val="24"/>
                <w:lang w:val="en-US"/>
              </w:rPr>
            </w:pPr>
            <w:r>
              <w:rPr>
                <w:sz w:val="24"/>
                <w:lang w:val="en-US"/>
              </w:rPr>
              <w:t>"ABSTAIN" is 1 vote;</w:t>
            </w:r>
          </w:p>
          <w:p w:rsidR="008705B1" w:rsidRPr="007249E3" w:rsidRDefault="003707CB" w:rsidP="000B45D2">
            <w:pPr>
              <w:pStyle w:val="TableParagraph"/>
              <w:ind w:left="0"/>
              <w:jc w:val="both"/>
              <w:rPr>
                <w:sz w:val="24"/>
                <w:lang w:val="en-US"/>
              </w:rPr>
            </w:pPr>
            <w:r>
              <w:rPr>
                <w:b/>
                <w:sz w:val="24"/>
                <w:lang w:val="en-US"/>
              </w:rPr>
              <w:t xml:space="preserve">on issue No. 3 of the </w:t>
            </w:r>
            <w:r>
              <w:rPr>
                <w:sz w:val="24"/>
                <w:lang w:val="en-US"/>
              </w:rPr>
              <w:t>agenda:</w:t>
            </w:r>
          </w:p>
          <w:p w:rsidR="008705B1" w:rsidRPr="007249E3" w:rsidRDefault="003707CB" w:rsidP="000B45D2">
            <w:pPr>
              <w:pStyle w:val="TableParagraph"/>
              <w:ind w:left="0"/>
              <w:jc w:val="both"/>
              <w:rPr>
                <w:sz w:val="24"/>
                <w:lang w:val="en-US"/>
              </w:rPr>
            </w:pPr>
            <w:r>
              <w:rPr>
                <w:sz w:val="24"/>
                <w:lang w:val="en-US"/>
              </w:rPr>
              <w:t>"PRO" is 11 votes;</w:t>
            </w:r>
          </w:p>
          <w:p w:rsidR="008705B1" w:rsidRPr="007249E3" w:rsidRDefault="003707CB" w:rsidP="000B45D2">
            <w:pPr>
              <w:pStyle w:val="TableParagraph"/>
              <w:ind w:left="0"/>
              <w:jc w:val="both"/>
              <w:rPr>
                <w:sz w:val="24"/>
                <w:lang w:val="en-US"/>
              </w:rPr>
            </w:pPr>
            <w:r>
              <w:rPr>
                <w:sz w:val="24"/>
                <w:lang w:val="en-US"/>
              </w:rPr>
              <w:t>"CON" is 0 votes;</w:t>
            </w:r>
          </w:p>
          <w:p w:rsidR="008705B1" w:rsidRPr="007249E3" w:rsidRDefault="003707CB" w:rsidP="000B45D2">
            <w:pPr>
              <w:pStyle w:val="TableParagraph"/>
              <w:ind w:left="0"/>
              <w:jc w:val="both"/>
              <w:rPr>
                <w:sz w:val="24"/>
                <w:lang w:val="en-US"/>
              </w:rPr>
            </w:pPr>
            <w:r>
              <w:rPr>
                <w:sz w:val="24"/>
                <w:lang w:val="en-US"/>
              </w:rPr>
              <w:t>"ABSTAIN" is 0 votes;</w:t>
            </w:r>
          </w:p>
          <w:p w:rsidR="008705B1" w:rsidRPr="007249E3" w:rsidRDefault="003707CB" w:rsidP="000B45D2">
            <w:pPr>
              <w:pStyle w:val="TableParagraph"/>
              <w:ind w:left="0"/>
              <w:jc w:val="both"/>
              <w:rPr>
                <w:sz w:val="24"/>
                <w:lang w:val="en-US"/>
              </w:rPr>
            </w:pPr>
            <w:r>
              <w:rPr>
                <w:b/>
                <w:sz w:val="24"/>
                <w:lang w:val="en-US"/>
              </w:rPr>
              <w:t xml:space="preserve">on issue No. 4 of the </w:t>
            </w:r>
            <w:r>
              <w:rPr>
                <w:sz w:val="24"/>
                <w:lang w:val="en-US"/>
              </w:rPr>
              <w:t>agenda:</w:t>
            </w:r>
          </w:p>
          <w:p w:rsidR="008705B1" w:rsidRPr="007249E3" w:rsidRDefault="003707CB" w:rsidP="000B45D2">
            <w:pPr>
              <w:pStyle w:val="TableParagraph"/>
              <w:ind w:left="0"/>
              <w:jc w:val="both"/>
              <w:rPr>
                <w:sz w:val="24"/>
                <w:lang w:val="en-US"/>
              </w:rPr>
            </w:pPr>
            <w:r>
              <w:rPr>
                <w:sz w:val="24"/>
                <w:lang w:val="en-US"/>
              </w:rPr>
              <w:t>"PRO" is 10 votes;</w:t>
            </w:r>
          </w:p>
          <w:p w:rsidR="008705B1" w:rsidRPr="007249E3" w:rsidRDefault="003707CB" w:rsidP="000B45D2">
            <w:pPr>
              <w:pStyle w:val="TableParagraph"/>
              <w:ind w:left="0"/>
              <w:jc w:val="both"/>
              <w:rPr>
                <w:sz w:val="24"/>
                <w:lang w:val="en-US"/>
              </w:rPr>
            </w:pPr>
            <w:r>
              <w:rPr>
                <w:sz w:val="24"/>
                <w:lang w:val="en-US"/>
              </w:rPr>
              <w:t>"CON" is 0 votes;</w:t>
            </w:r>
          </w:p>
          <w:p w:rsidR="008705B1" w:rsidRDefault="003707CB" w:rsidP="000B45D2">
            <w:pPr>
              <w:pStyle w:val="TableParagraph"/>
              <w:ind w:left="0"/>
              <w:jc w:val="both"/>
              <w:rPr>
                <w:sz w:val="24"/>
              </w:rPr>
            </w:pPr>
            <w:r>
              <w:rPr>
                <w:sz w:val="24"/>
                <w:lang w:val="en-US"/>
              </w:rPr>
              <w:t>"ABSTAIN" is 1 vote.</w:t>
            </w:r>
          </w:p>
        </w:tc>
      </w:tr>
      <w:tr w:rsidR="00CB549C" w:rsidRPr="007249E3" w:rsidTr="000B45D2">
        <w:trPr>
          <w:trHeight w:val="20"/>
        </w:trPr>
        <w:tc>
          <w:tcPr>
            <w:tcW w:w="5000" w:type="pct"/>
            <w:gridSpan w:val="4"/>
          </w:tcPr>
          <w:p w:rsidR="008705B1" w:rsidRPr="007249E3" w:rsidRDefault="003707CB" w:rsidP="000B45D2">
            <w:pPr>
              <w:pStyle w:val="TableParagraph"/>
              <w:ind w:left="0" w:firstLine="289"/>
              <w:jc w:val="both"/>
              <w:rPr>
                <w:b/>
                <w:sz w:val="24"/>
                <w:lang w:val="en-US"/>
              </w:rPr>
            </w:pPr>
            <w:r>
              <w:rPr>
                <w:b/>
                <w:sz w:val="24"/>
                <w:lang w:val="en-US"/>
              </w:rPr>
              <w:t>Insider information disclosure on issue No. 1: "On approval of the Register of non-core assets of IDGC of the South, PJSC as of December 31, 2018".</w:t>
            </w:r>
          </w:p>
        </w:tc>
      </w:tr>
      <w:tr w:rsidR="00CB549C" w:rsidRPr="007249E3" w:rsidTr="000B45D2">
        <w:trPr>
          <w:trHeight w:val="20"/>
        </w:trPr>
        <w:tc>
          <w:tcPr>
            <w:tcW w:w="5000" w:type="pct"/>
            <w:gridSpan w:val="4"/>
          </w:tcPr>
          <w:p w:rsidR="008705B1" w:rsidRPr="007249E3" w:rsidRDefault="003707CB" w:rsidP="000B45D2">
            <w:pPr>
              <w:pStyle w:val="TableParagraph"/>
              <w:ind w:left="0" w:firstLine="289"/>
              <w:jc w:val="both"/>
              <w:rPr>
                <w:sz w:val="24"/>
                <w:lang w:val="en-US"/>
              </w:rPr>
            </w:pPr>
            <w:r>
              <w:rPr>
                <w:sz w:val="24"/>
                <w:lang w:val="en-US"/>
              </w:rPr>
              <w:t>2.2.1. Resolution content adopted by the Issuer's Board of Directors:</w:t>
            </w:r>
          </w:p>
          <w:p w:rsidR="008705B1" w:rsidRPr="007249E3" w:rsidRDefault="003707CB" w:rsidP="000B45D2">
            <w:pPr>
              <w:pStyle w:val="TableParagraph"/>
              <w:ind w:left="0" w:firstLine="289"/>
              <w:jc w:val="both"/>
              <w:rPr>
                <w:sz w:val="24"/>
                <w:lang w:val="en-US"/>
              </w:rPr>
            </w:pPr>
            <w:r>
              <w:rPr>
                <w:sz w:val="24"/>
                <w:lang w:val="en-US"/>
              </w:rPr>
              <w:t>Approve the Register of non-core assets of IDGC of the South, PJSC as of December 31, 2018, in accordance with Annex No. 1 to this Board of Directors resolution of the Company.</w:t>
            </w:r>
          </w:p>
        </w:tc>
      </w:tr>
      <w:tr w:rsidR="00CB549C" w:rsidRPr="007249E3" w:rsidTr="000B45D2">
        <w:trPr>
          <w:trHeight w:val="20"/>
        </w:trPr>
        <w:tc>
          <w:tcPr>
            <w:tcW w:w="5000" w:type="pct"/>
            <w:gridSpan w:val="4"/>
            <w:tcBorders>
              <w:bottom w:val="single" w:sz="6" w:space="0" w:color="000000"/>
            </w:tcBorders>
          </w:tcPr>
          <w:p w:rsidR="008705B1" w:rsidRPr="007249E3" w:rsidRDefault="003707CB" w:rsidP="000B45D2">
            <w:pPr>
              <w:pStyle w:val="TableParagraph"/>
              <w:ind w:left="0" w:firstLine="289"/>
              <w:jc w:val="both"/>
              <w:rPr>
                <w:b/>
                <w:sz w:val="24"/>
                <w:lang w:val="en-US"/>
              </w:rPr>
            </w:pPr>
            <w:r>
              <w:rPr>
                <w:b/>
                <w:sz w:val="24"/>
                <w:lang w:val="en-US"/>
              </w:rPr>
              <w:t>Insider information disclosure on issue No. 2: "On the progress of the Company's Register of non-core assets execution as of December 31, 2018".</w:t>
            </w:r>
          </w:p>
        </w:tc>
      </w:tr>
      <w:tr w:rsidR="00CB549C" w:rsidRPr="007249E3" w:rsidTr="000B45D2">
        <w:trPr>
          <w:trHeight w:val="20"/>
        </w:trPr>
        <w:tc>
          <w:tcPr>
            <w:tcW w:w="5000" w:type="pct"/>
            <w:gridSpan w:val="4"/>
            <w:tcBorders>
              <w:top w:val="single" w:sz="6" w:space="0" w:color="000000"/>
            </w:tcBorders>
          </w:tcPr>
          <w:p w:rsidR="008705B1" w:rsidRPr="007249E3" w:rsidRDefault="003707CB" w:rsidP="000B45D2">
            <w:pPr>
              <w:pStyle w:val="TableParagraph"/>
              <w:ind w:left="0" w:firstLine="289"/>
              <w:jc w:val="both"/>
              <w:rPr>
                <w:sz w:val="24"/>
                <w:lang w:val="en-US"/>
              </w:rPr>
            </w:pPr>
            <w:r>
              <w:rPr>
                <w:sz w:val="24"/>
                <w:lang w:val="en-US"/>
              </w:rPr>
              <w:t>2.2.2. Resolution content adopted by the Issuer's Board of Directors:</w:t>
            </w:r>
          </w:p>
          <w:p w:rsidR="008705B1" w:rsidRPr="007249E3" w:rsidRDefault="003707CB" w:rsidP="000B45D2">
            <w:pPr>
              <w:pStyle w:val="TableParagraph"/>
              <w:ind w:left="0" w:firstLine="289"/>
              <w:jc w:val="both"/>
              <w:rPr>
                <w:sz w:val="24"/>
                <w:lang w:val="en-US"/>
              </w:rPr>
            </w:pPr>
            <w:r>
              <w:rPr>
                <w:sz w:val="24"/>
                <w:lang w:val="en-US"/>
              </w:rPr>
              <w:t xml:space="preserve">Take into consideration the report on execution progress of the Register of non-core assets of </w:t>
            </w:r>
            <w:r>
              <w:rPr>
                <w:sz w:val="24"/>
                <w:lang w:val="en-US"/>
              </w:rPr>
              <w:lastRenderedPageBreak/>
              <w:t>IDGC of the South, PJSC as of December 31, 2018, according to Annex No. 2 to this resolution of the Company's Board of Directors.</w:t>
            </w:r>
          </w:p>
        </w:tc>
      </w:tr>
      <w:tr w:rsidR="00CB549C" w:rsidRPr="007249E3" w:rsidTr="000B45D2">
        <w:trPr>
          <w:trHeight w:val="20"/>
        </w:trPr>
        <w:tc>
          <w:tcPr>
            <w:tcW w:w="5000" w:type="pct"/>
            <w:gridSpan w:val="4"/>
          </w:tcPr>
          <w:p w:rsidR="008705B1" w:rsidRPr="007249E3" w:rsidRDefault="003707CB" w:rsidP="000B45D2">
            <w:pPr>
              <w:pStyle w:val="TableParagraph"/>
              <w:ind w:left="0" w:firstLine="289"/>
              <w:jc w:val="both"/>
              <w:rPr>
                <w:b/>
                <w:sz w:val="24"/>
                <w:lang w:val="en-US"/>
              </w:rPr>
            </w:pPr>
            <w:r>
              <w:rPr>
                <w:b/>
                <w:sz w:val="24"/>
                <w:lang w:val="en-US"/>
              </w:rPr>
              <w:lastRenderedPageBreak/>
              <w:t>Insider information disclosure on issue No. 3: "On providing insurance coverage of the Company in Q4 2018".</w:t>
            </w:r>
          </w:p>
        </w:tc>
      </w:tr>
      <w:tr w:rsidR="00CB549C" w:rsidRPr="007249E3" w:rsidTr="000B45D2">
        <w:trPr>
          <w:trHeight w:val="20"/>
        </w:trPr>
        <w:tc>
          <w:tcPr>
            <w:tcW w:w="5000" w:type="pct"/>
            <w:gridSpan w:val="4"/>
          </w:tcPr>
          <w:p w:rsidR="008705B1" w:rsidRPr="007249E3" w:rsidRDefault="003707CB" w:rsidP="000B45D2">
            <w:pPr>
              <w:pStyle w:val="TableParagraph"/>
              <w:ind w:left="0" w:firstLine="289"/>
              <w:jc w:val="both"/>
              <w:rPr>
                <w:sz w:val="24"/>
                <w:lang w:val="en-US"/>
              </w:rPr>
            </w:pPr>
            <w:r>
              <w:rPr>
                <w:sz w:val="24"/>
                <w:lang w:val="en-US"/>
              </w:rPr>
              <w:t>2.2.3. Resolution content adopted by the Issuer's Board of Directors:</w:t>
            </w:r>
          </w:p>
          <w:p w:rsidR="008705B1" w:rsidRPr="007249E3" w:rsidRDefault="003707CB" w:rsidP="000B45D2">
            <w:pPr>
              <w:pStyle w:val="TableParagraph"/>
              <w:ind w:left="0" w:firstLine="289"/>
              <w:jc w:val="both"/>
              <w:rPr>
                <w:sz w:val="24"/>
                <w:lang w:val="en-US"/>
              </w:rPr>
            </w:pPr>
            <w:r>
              <w:rPr>
                <w:sz w:val="24"/>
                <w:lang w:val="en-US"/>
              </w:rPr>
              <w:t>Take into consideration the report of the General Director of the Company on the provision of insurance coverage in Q4 2018 in accordance with Annex 3 to this resolution of the Company's Board of Directors.</w:t>
            </w:r>
          </w:p>
        </w:tc>
      </w:tr>
      <w:tr w:rsidR="00CB549C" w:rsidRPr="007249E3" w:rsidTr="000B45D2">
        <w:trPr>
          <w:trHeight w:val="20"/>
        </w:trPr>
        <w:tc>
          <w:tcPr>
            <w:tcW w:w="5000" w:type="pct"/>
            <w:gridSpan w:val="4"/>
          </w:tcPr>
          <w:p w:rsidR="008705B1" w:rsidRPr="007249E3" w:rsidRDefault="003707CB" w:rsidP="000B45D2">
            <w:pPr>
              <w:pStyle w:val="TableParagraph"/>
              <w:ind w:left="0" w:firstLine="289"/>
              <w:jc w:val="both"/>
              <w:rPr>
                <w:b/>
                <w:sz w:val="24"/>
                <w:lang w:val="en-US"/>
              </w:rPr>
            </w:pPr>
            <w:r>
              <w:rPr>
                <w:b/>
                <w:sz w:val="24"/>
                <w:lang w:val="en-US"/>
              </w:rPr>
              <w:t>Insider information disclosure on issue No. 4: "On determining the quantitative composition of the Management Board, termination of powers of a member of the Management Board and election of members of the Management Board of the Company".</w:t>
            </w:r>
          </w:p>
        </w:tc>
      </w:tr>
      <w:tr w:rsidR="00CB549C" w:rsidRPr="007249E3" w:rsidTr="000B45D2">
        <w:trPr>
          <w:trHeight w:val="20"/>
        </w:trPr>
        <w:tc>
          <w:tcPr>
            <w:tcW w:w="5000" w:type="pct"/>
            <w:gridSpan w:val="4"/>
          </w:tcPr>
          <w:p w:rsidR="008705B1" w:rsidRPr="007249E3" w:rsidRDefault="003707CB" w:rsidP="000B45D2">
            <w:pPr>
              <w:pStyle w:val="TableParagraph"/>
              <w:ind w:left="0" w:firstLine="289"/>
              <w:jc w:val="both"/>
              <w:rPr>
                <w:sz w:val="24"/>
                <w:lang w:val="en-US"/>
              </w:rPr>
            </w:pPr>
            <w:r>
              <w:rPr>
                <w:sz w:val="24"/>
                <w:lang w:val="en-US"/>
              </w:rPr>
              <w:t>2.2.4. Resolution content adopted by the Issuer's Board of Directors:</w:t>
            </w:r>
          </w:p>
          <w:p w:rsidR="008705B1" w:rsidRPr="007249E3" w:rsidRDefault="003707CB" w:rsidP="000B45D2">
            <w:pPr>
              <w:pStyle w:val="TableParagraph"/>
              <w:numPr>
                <w:ilvl w:val="0"/>
                <w:numId w:val="3"/>
              </w:numPr>
              <w:tabs>
                <w:tab w:val="left" w:pos="572"/>
                <w:tab w:val="left" w:pos="1158"/>
                <w:tab w:val="left" w:pos="1159"/>
              </w:tabs>
              <w:ind w:left="0" w:firstLine="289"/>
              <w:jc w:val="both"/>
              <w:rPr>
                <w:sz w:val="24"/>
                <w:lang w:val="en-US"/>
              </w:rPr>
            </w:pPr>
            <w:r>
              <w:rPr>
                <w:sz w:val="24"/>
                <w:lang w:val="en-US"/>
              </w:rPr>
              <w:t>Determine the quantitative composition of the Management Board of IDGC of the South, PJSC - 9 (nine) persons.</w:t>
            </w:r>
          </w:p>
          <w:p w:rsidR="008705B1" w:rsidRPr="007249E3" w:rsidRDefault="003707CB" w:rsidP="000B45D2">
            <w:pPr>
              <w:pStyle w:val="TableParagraph"/>
              <w:numPr>
                <w:ilvl w:val="0"/>
                <w:numId w:val="3"/>
              </w:numPr>
              <w:tabs>
                <w:tab w:val="left" w:pos="572"/>
                <w:tab w:val="left" w:pos="1158"/>
                <w:tab w:val="left" w:pos="1159"/>
              </w:tabs>
              <w:ind w:left="0" w:firstLine="289"/>
              <w:jc w:val="both"/>
              <w:rPr>
                <w:sz w:val="24"/>
                <w:lang w:val="en-US"/>
              </w:rPr>
            </w:pPr>
            <w:r>
              <w:rPr>
                <w:sz w:val="24"/>
                <w:lang w:val="en-US"/>
              </w:rPr>
              <w:t>Terminate the powers of Sergey Alexeevich Chekmaryov, Member of the Management Board of IDGC of the South, PJSC.</w:t>
            </w:r>
          </w:p>
          <w:p w:rsidR="008705B1" w:rsidRPr="007249E3" w:rsidRDefault="003707CB" w:rsidP="000B45D2">
            <w:pPr>
              <w:pStyle w:val="TableParagraph"/>
              <w:numPr>
                <w:ilvl w:val="0"/>
                <w:numId w:val="3"/>
              </w:numPr>
              <w:tabs>
                <w:tab w:val="left" w:pos="572"/>
                <w:tab w:val="left" w:pos="1158"/>
                <w:tab w:val="left" w:pos="1159"/>
              </w:tabs>
              <w:ind w:left="0" w:firstLine="289"/>
              <w:jc w:val="both"/>
              <w:rPr>
                <w:sz w:val="24"/>
                <w:lang w:val="en-US"/>
              </w:rPr>
            </w:pPr>
            <w:r>
              <w:rPr>
                <w:sz w:val="24"/>
                <w:lang w:val="en-US"/>
              </w:rPr>
              <w:t>Elect to the Management Board of IDGC of the South, PJSC:</w:t>
            </w:r>
          </w:p>
          <w:p w:rsidR="008705B1" w:rsidRPr="007249E3" w:rsidRDefault="003707CB" w:rsidP="000B45D2">
            <w:pPr>
              <w:pStyle w:val="TableParagraph"/>
              <w:numPr>
                <w:ilvl w:val="0"/>
                <w:numId w:val="2"/>
              </w:numPr>
              <w:tabs>
                <w:tab w:val="left" w:pos="572"/>
                <w:tab w:val="left" w:pos="1158"/>
                <w:tab w:val="left" w:pos="1159"/>
              </w:tabs>
              <w:ind w:left="0" w:firstLine="289"/>
              <w:jc w:val="both"/>
              <w:rPr>
                <w:sz w:val="24"/>
                <w:lang w:val="en-US"/>
              </w:rPr>
            </w:pPr>
            <w:r>
              <w:rPr>
                <w:sz w:val="24"/>
                <w:lang w:val="en-US"/>
              </w:rPr>
              <w:t>Dmitry Borisovich Akopyan - Deputy General Director - Director of Rostovenergo branch of IDGC of the South, PJSC;</w:t>
            </w:r>
          </w:p>
          <w:p w:rsidR="008705B1" w:rsidRPr="007249E3" w:rsidRDefault="003707CB" w:rsidP="000B45D2">
            <w:pPr>
              <w:pStyle w:val="TableParagraph"/>
              <w:numPr>
                <w:ilvl w:val="0"/>
                <w:numId w:val="2"/>
              </w:numPr>
              <w:tabs>
                <w:tab w:val="left" w:pos="572"/>
                <w:tab w:val="left" w:pos="1158"/>
                <w:tab w:val="left" w:pos="1159"/>
                <w:tab w:val="left" w:pos="2403"/>
                <w:tab w:val="left" w:pos="3216"/>
                <w:tab w:val="left" w:pos="4725"/>
                <w:tab w:val="left" w:pos="5016"/>
                <w:tab w:val="left" w:pos="6494"/>
                <w:tab w:val="left" w:pos="8105"/>
                <w:tab w:val="left" w:pos="9360"/>
              </w:tabs>
              <w:ind w:left="0" w:firstLine="289"/>
              <w:jc w:val="both"/>
              <w:rPr>
                <w:sz w:val="24"/>
                <w:lang w:val="en-US"/>
              </w:rPr>
            </w:pPr>
            <w:r>
              <w:rPr>
                <w:sz w:val="24"/>
                <w:lang w:val="en-US"/>
              </w:rPr>
              <w:t>Oleg Valerievich Musinov - Deputy General Director for Corporate Governance of IDGC of the South, PJSC.</w:t>
            </w:r>
          </w:p>
          <w:p w:rsidR="008705B1" w:rsidRPr="007249E3" w:rsidRDefault="003707CB" w:rsidP="000B45D2">
            <w:pPr>
              <w:pStyle w:val="TableParagraph"/>
              <w:tabs>
                <w:tab w:val="left" w:pos="1442"/>
              </w:tabs>
              <w:ind w:left="0" w:firstLine="289"/>
              <w:jc w:val="both"/>
              <w:rPr>
                <w:sz w:val="24"/>
                <w:lang w:val="en-US"/>
              </w:rPr>
            </w:pPr>
            <w:r>
              <w:rPr>
                <w:sz w:val="24"/>
                <w:lang w:val="en-US"/>
              </w:rPr>
              <w:t>4. Authorize Boris Borisovich Ebzeev, General Director, Chairman of the Management Board of IDGC of South, PJSC, to exercise rights and obligations of the employer on behalf of the Company with respect to the members of the Management Board of IDGC of South, PJSC.</w:t>
            </w:r>
          </w:p>
        </w:tc>
      </w:tr>
      <w:tr w:rsidR="00CB549C" w:rsidRPr="007249E3" w:rsidTr="000B45D2">
        <w:trPr>
          <w:trHeight w:val="20"/>
        </w:trPr>
        <w:tc>
          <w:tcPr>
            <w:tcW w:w="5000" w:type="pct"/>
            <w:gridSpan w:val="4"/>
          </w:tcPr>
          <w:p w:rsidR="008705B1" w:rsidRPr="007249E3" w:rsidRDefault="003707CB" w:rsidP="000B45D2">
            <w:pPr>
              <w:pStyle w:val="TableParagraph"/>
              <w:numPr>
                <w:ilvl w:val="1"/>
                <w:numId w:val="1"/>
              </w:numPr>
              <w:tabs>
                <w:tab w:val="left" w:pos="559"/>
              </w:tabs>
              <w:ind w:left="0" w:firstLine="0"/>
              <w:jc w:val="both"/>
              <w:rPr>
                <w:b/>
                <w:i/>
                <w:sz w:val="24"/>
                <w:lang w:val="en-US"/>
              </w:rPr>
            </w:pPr>
            <w:r>
              <w:rPr>
                <w:sz w:val="24"/>
                <w:lang w:val="en-US"/>
              </w:rPr>
              <w:t xml:space="preserve">Date of the meeting of the Issuer's Board of Directors at which the relevant resolutions were adopted: </w:t>
            </w:r>
            <w:r>
              <w:rPr>
                <w:b/>
                <w:i/>
                <w:sz w:val="24"/>
                <w:lang w:val="en-US"/>
              </w:rPr>
              <w:t>February 27, 2019.</w:t>
            </w:r>
          </w:p>
          <w:p w:rsidR="008705B1" w:rsidRPr="007249E3" w:rsidRDefault="003707CB" w:rsidP="000B45D2">
            <w:pPr>
              <w:pStyle w:val="TableParagraph"/>
              <w:numPr>
                <w:ilvl w:val="1"/>
                <w:numId w:val="1"/>
              </w:numPr>
              <w:tabs>
                <w:tab w:val="left" w:pos="648"/>
              </w:tabs>
              <w:ind w:left="0" w:firstLine="0"/>
              <w:jc w:val="both"/>
              <w:rPr>
                <w:b/>
                <w:i/>
                <w:sz w:val="24"/>
                <w:lang w:val="en-US"/>
              </w:rPr>
            </w:pPr>
            <w:r>
              <w:rPr>
                <w:sz w:val="24"/>
                <w:lang w:val="en-US"/>
              </w:rPr>
              <w:t xml:space="preserve">Date and number of the minutes of the meeting of the Issuer's Board of Directors at which the relevant resolutions were adopted: </w:t>
            </w:r>
            <w:r>
              <w:rPr>
                <w:b/>
                <w:i/>
                <w:sz w:val="24"/>
                <w:lang w:val="en-US"/>
              </w:rPr>
              <w:t>March 4, 2019, Minutes No. 301/2019.</w:t>
            </w:r>
          </w:p>
        </w:tc>
      </w:tr>
      <w:tr w:rsidR="00CB549C" w:rsidTr="000B45D2">
        <w:trPr>
          <w:trHeight w:val="20"/>
        </w:trPr>
        <w:tc>
          <w:tcPr>
            <w:tcW w:w="5000" w:type="pct"/>
            <w:gridSpan w:val="4"/>
            <w:tcBorders>
              <w:bottom w:val="single" w:sz="4" w:space="0" w:color="000000"/>
            </w:tcBorders>
          </w:tcPr>
          <w:p w:rsidR="000B45D2" w:rsidRDefault="003707CB" w:rsidP="00D570B5">
            <w:pPr>
              <w:pStyle w:val="TableParagraph"/>
              <w:spacing w:line="258" w:lineRule="exact"/>
              <w:ind w:left="4183"/>
              <w:rPr>
                <w:sz w:val="24"/>
              </w:rPr>
            </w:pPr>
            <w:r>
              <w:rPr>
                <w:sz w:val="24"/>
                <w:lang w:val="en-US"/>
              </w:rPr>
              <w:t>3. Signature</w:t>
            </w:r>
          </w:p>
        </w:tc>
      </w:tr>
      <w:tr w:rsidR="00CB549C" w:rsidTr="000B45D2">
        <w:trPr>
          <w:trHeight w:val="20"/>
        </w:trPr>
        <w:tc>
          <w:tcPr>
            <w:tcW w:w="2951" w:type="pct"/>
            <w:gridSpan w:val="2"/>
            <w:vMerge w:val="restart"/>
            <w:tcBorders>
              <w:bottom w:val="nil"/>
              <w:right w:val="nil"/>
            </w:tcBorders>
          </w:tcPr>
          <w:p w:rsidR="000B45D2" w:rsidRPr="007249E3" w:rsidRDefault="003707CB" w:rsidP="00D570B5">
            <w:pPr>
              <w:pStyle w:val="TableParagraph"/>
              <w:tabs>
                <w:tab w:val="left" w:pos="449"/>
              </w:tabs>
              <w:spacing w:line="261" w:lineRule="exact"/>
              <w:ind w:left="0"/>
              <w:rPr>
                <w:sz w:val="24"/>
                <w:lang w:val="en-US"/>
              </w:rPr>
            </w:pPr>
            <w:r>
              <w:rPr>
                <w:sz w:val="24"/>
                <w:lang w:val="en-US"/>
              </w:rPr>
              <w:t>3.1. Head of Corporate Governance and Shareholder Relations Department (power of attorney No. 86-19 dated January 1, 2019)</w:t>
            </w:r>
          </w:p>
          <w:p w:rsidR="000B45D2" w:rsidRPr="007249E3" w:rsidRDefault="007249E3" w:rsidP="00D570B5">
            <w:pPr>
              <w:pStyle w:val="TableParagraph"/>
              <w:ind w:left="0"/>
              <w:rPr>
                <w:sz w:val="6"/>
                <w:szCs w:val="6"/>
                <w:lang w:val="en-US"/>
              </w:rPr>
            </w:pPr>
          </w:p>
          <w:p w:rsidR="000B45D2" w:rsidRDefault="003707CB" w:rsidP="00780763">
            <w:pPr>
              <w:pStyle w:val="TableParagraph"/>
              <w:tabs>
                <w:tab w:val="left" w:pos="449"/>
                <w:tab w:val="left" w:pos="1468"/>
                <w:tab w:val="left" w:pos="2189"/>
              </w:tabs>
              <w:spacing w:after="120" w:line="270" w:lineRule="exact"/>
              <w:ind w:left="0"/>
              <w:rPr>
                <w:sz w:val="24"/>
              </w:rPr>
            </w:pPr>
            <w:r>
              <w:rPr>
                <w:sz w:val="24"/>
                <w:lang w:val="en-US"/>
              </w:rPr>
              <w:t>Date March "0</w:t>
            </w:r>
            <w:r w:rsidRPr="00780763">
              <w:rPr>
                <w:sz w:val="24"/>
                <w:u w:val="single"/>
                <w:lang w:val="en-US"/>
              </w:rPr>
              <w:t>4</w:t>
            </w:r>
            <w:r>
              <w:rPr>
                <w:sz w:val="24"/>
                <w:lang w:val="en-US"/>
              </w:rPr>
              <w:t>",</w:t>
            </w:r>
            <w:r w:rsidRPr="00780763">
              <w:rPr>
                <w:sz w:val="24"/>
                <w:u w:val="single"/>
                <w:lang w:val="en-US"/>
              </w:rPr>
              <w:t xml:space="preserve"> </w:t>
            </w:r>
            <w:r>
              <w:rPr>
                <w:sz w:val="24"/>
                <w:lang w:val="en-US"/>
              </w:rPr>
              <w:t>20</w:t>
            </w:r>
            <w:r w:rsidRPr="00780763">
              <w:rPr>
                <w:sz w:val="24"/>
                <w:u w:val="single"/>
                <w:lang w:val="en-US"/>
              </w:rPr>
              <w:t>19</w:t>
            </w:r>
          </w:p>
        </w:tc>
        <w:tc>
          <w:tcPr>
            <w:tcW w:w="668" w:type="pct"/>
            <w:tcBorders>
              <w:left w:val="nil"/>
              <w:bottom w:val="single" w:sz="4" w:space="0" w:color="auto"/>
              <w:right w:val="nil"/>
            </w:tcBorders>
          </w:tcPr>
          <w:p w:rsidR="000B45D2" w:rsidRDefault="007249E3" w:rsidP="00D570B5">
            <w:pPr>
              <w:pStyle w:val="TableParagraph"/>
              <w:tabs>
                <w:tab w:val="left" w:pos="449"/>
                <w:tab w:val="left" w:pos="1468"/>
                <w:tab w:val="left" w:pos="2189"/>
              </w:tabs>
              <w:spacing w:line="270" w:lineRule="exact"/>
              <w:ind w:left="0"/>
              <w:rPr>
                <w:sz w:val="24"/>
              </w:rPr>
            </w:pPr>
          </w:p>
        </w:tc>
        <w:tc>
          <w:tcPr>
            <w:tcW w:w="1381" w:type="pct"/>
            <w:tcBorders>
              <w:left w:val="nil"/>
              <w:bottom w:val="nil"/>
            </w:tcBorders>
          </w:tcPr>
          <w:p w:rsidR="000B45D2" w:rsidRDefault="003707CB" w:rsidP="00D570B5">
            <w:pPr>
              <w:pStyle w:val="TableParagraph"/>
              <w:tabs>
                <w:tab w:val="left" w:pos="449"/>
                <w:tab w:val="left" w:pos="1468"/>
                <w:tab w:val="left" w:pos="2189"/>
              </w:tabs>
              <w:spacing w:line="270" w:lineRule="exact"/>
              <w:ind w:left="0"/>
              <w:rPr>
                <w:sz w:val="24"/>
              </w:rPr>
            </w:pPr>
            <w:r>
              <w:rPr>
                <w:sz w:val="24"/>
                <w:lang w:val="en-US"/>
              </w:rPr>
              <w:t>Pavlova E.N.</w:t>
            </w:r>
          </w:p>
        </w:tc>
      </w:tr>
      <w:tr w:rsidR="00CB549C" w:rsidTr="000B45D2">
        <w:trPr>
          <w:trHeight w:val="20"/>
        </w:trPr>
        <w:tc>
          <w:tcPr>
            <w:tcW w:w="2951" w:type="pct"/>
            <w:gridSpan w:val="2"/>
            <w:vMerge/>
            <w:tcBorders>
              <w:top w:val="nil"/>
              <w:right w:val="nil"/>
            </w:tcBorders>
          </w:tcPr>
          <w:p w:rsidR="000B45D2" w:rsidRDefault="007249E3" w:rsidP="000B45D2">
            <w:pPr>
              <w:pStyle w:val="TableParagraph"/>
              <w:numPr>
                <w:ilvl w:val="1"/>
                <w:numId w:val="4"/>
              </w:numPr>
              <w:tabs>
                <w:tab w:val="left" w:pos="449"/>
              </w:tabs>
              <w:spacing w:line="261" w:lineRule="exact"/>
              <w:ind w:left="0" w:firstLine="0"/>
              <w:rPr>
                <w:sz w:val="24"/>
              </w:rPr>
            </w:pPr>
          </w:p>
        </w:tc>
        <w:tc>
          <w:tcPr>
            <w:tcW w:w="668" w:type="pct"/>
            <w:tcBorders>
              <w:top w:val="nil"/>
              <w:left w:val="nil"/>
              <w:right w:val="nil"/>
            </w:tcBorders>
          </w:tcPr>
          <w:p w:rsidR="000B45D2" w:rsidRDefault="003707CB" w:rsidP="00D570B5">
            <w:pPr>
              <w:pStyle w:val="TableParagraph"/>
              <w:tabs>
                <w:tab w:val="left" w:pos="449"/>
                <w:tab w:val="left" w:pos="1468"/>
                <w:tab w:val="left" w:pos="2189"/>
              </w:tabs>
              <w:spacing w:line="270" w:lineRule="exact"/>
              <w:ind w:left="0"/>
              <w:jc w:val="center"/>
              <w:rPr>
                <w:sz w:val="24"/>
              </w:rPr>
            </w:pPr>
            <w:r>
              <w:rPr>
                <w:sz w:val="24"/>
                <w:lang w:val="en-US"/>
              </w:rPr>
              <w:t>(signature)</w:t>
            </w:r>
          </w:p>
          <w:p w:rsidR="000B45D2" w:rsidRDefault="007249E3" w:rsidP="00D570B5">
            <w:pPr>
              <w:pStyle w:val="TableParagraph"/>
              <w:tabs>
                <w:tab w:val="left" w:pos="449"/>
                <w:tab w:val="left" w:pos="1468"/>
                <w:tab w:val="left" w:pos="2189"/>
              </w:tabs>
              <w:spacing w:line="270" w:lineRule="exact"/>
              <w:ind w:left="0"/>
              <w:rPr>
                <w:sz w:val="24"/>
              </w:rPr>
            </w:pPr>
            <w:r w:rsidRPr="007249E3">
              <w:rPr>
                <w:sz w:val="24"/>
                <w:lang w:val="en-US"/>
              </w:rPr>
              <w:t>L.S.</w:t>
            </w:r>
            <w:bookmarkStart w:id="0" w:name="_GoBack"/>
            <w:bookmarkEnd w:id="0"/>
          </w:p>
        </w:tc>
        <w:tc>
          <w:tcPr>
            <w:tcW w:w="1381" w:type="pct"/>
            <w:tcBorders>
              <w:top w:val="nil"/>
              <w:left w:val="nil"/>
            </w:tcBorders>
          </w:tcPr>
          <w:p w:rsidR="000B45D2" w:rsidRDefault="007249E3" w:rsidP="00D570B5">
            <w:pPr>
              <w:pStyle w:val="TableParagraph"/>
              <w:tabs>
                <w:tab w:val="left" w:pos="449"/>
                <w:tab w:val="left" w:pos="1468"/>
                <w:tab w:val="left" w:pos="2189"/>
              </w:tabs>
              <w:spacing w:line="270" w:lineRule="exact"/>
              <w:ind w:left="0"/>
              <w:rPr>
                <w:sz w:val="24"/>
              </w:rPr>
            </w:pPr>
          </w:p>
        </w:tc>
      </w:tr>
    </w:tbl>
    <w:p w:rsidR="000B45D2" w:rsidRDefault="007249E3" w:rsidP="000B45D2"/>
    <w:sectPr w:rsidR="000B45D2" w:rsidSect="000B45D2">
      <w:headerReference w:type="default" r:id="rId10"/>
      <w:pgSz w:w="11910" w:h="16850"/>
      <w:pgMar w:top="1440" w:right="1080" w:bottom="1440" w:left="1080" w:header="722"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67C" w:rsidRDefault="003707CB">
      <w:r>
        <w:separator/>
      </w:r>
    </w:p>
  </w:endnote>
  <w:endnote w:type="continuationSeparator" w:id="0">
    <w:p w:rsidR="00B3767C" w:rsidRDefault="0037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67C" w:rsidRDefault="003707CB">
      <w:r>
        <w:separator/>
      </w:r>
    </w:p>
  </w:footnote>
  <w:footnote w:type="continuationSeparator" w:id="0">
    <w:p w:rsidR="00B3767C" w:rsidRDefault="00370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B1" w:rsidRPr="000B45D2" w:rsidRDefault="003707CB" w:rsidP="000B45D2">
    <w:pPr>
      <w:pStyle w:val="a5"/>
      <w:jc w:val="right"/>
    </w:pPr>
    <w:r>
      <w:fldChar w:fldCharType="begin"/>
    </w:r>
    <w:r>
      <w:instrText xml:space="preserve"> PAGE   \* MERGEFORMAT </w:instrText>
    </w:r>
    <w:r>
      <w:fldChar w:fldCharType="separate"/>
    </w:r>
    <w:r w:rsidR="007249E3">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117F3"/>
    <w:multiLevelType w:val="multilevel"/>
    <w:tmpl w:val="F4C00B4C"/>
    <w:lvl w:ilvl="0">
      <w:start w:val="3"/>
      <w:numFmt w:val="decimal"/>
      <w:lvlText w:val="%1"/>
      <w:lvlJc w:val="left"/>
      <w:pPr>
        <w:ind w:left="360" w:hanging="360"/>
      </w:pPr>
      <w:rPr>
        <w:rFonts w:hint="default"/>
      </w:rPr>
    </w:lvl>
    <w:lvl w:ilvl="1">
      <w:start w:val="1"/>
      <w:numFmt w:val="decimal"/>
      <w:lvlText w:val="%1.%2"/>
      <w:lvlJc w:val="left"/>
      <w:pPr>
        <w:ind w:left="808" w:hanging="360"/>
      </w:pPr>
      <w:rPr>
        <w:rFonts w:hint="default"/>
      </w:rPr>
    </w:lvl>
    <w:lvl w:ilvl="2">
      <w:start w:val="1"/>
      <w:numFmt w:val="decimal"/>
      <w:lvlText w:val="%1.%2.%3"/>
      <w:lvlJc w:val="left"/>
      <w:pPr>
        <w:ind w:left="1616" w:hanging="720"/>
      </w:pPr>
      <w:rPr>
        <w:rFonts w:hint="default"/>
      </w:rPr>
    </w:lvl>
    <w:lvl w:ilvl="3">
      <w:start w:val="1"/>
      <w:numFmt w:val="decimal"/>
      <w:lvlText w:val="%1.%2.%3.%4"/>
      <w:lvlJc w:val="left"/>
      <w:pPr>
        <w:ind w:left="2064" w:hanging="720"/>
      </w:pPr>
      <w:rPr>
        <w:rFonts w:hint="default"/>
      </w:rPr>
    </w:lvl>
    <w:lvl w:ilvl="4">
      <w:start w:val="1"/>
      <w:numFmt w:val="decimal"/>
      <w:lvlText w:val="%1.%2.%3.%4.%5"/>
      <w:lvlJc w:val="left"/>
      <w:pPr>
        <w:ind w:left="2872"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4128" w:hanging="144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384" w:hanging="1800"/>
      </w:pPr>
      <w:rPr>
        <w:rFonts w:hint="default"/>
      </w:rPr>
    </w:lvl>
  </w:abstractNum>
  <w:abstractNum w:abstractNumId="1" w15:restartNumberingAfterBreak="0">
    <w:nsid w:val="42C964ED"/>
    <w:multiLevelType w:val="hybridMultilevel"/>
    <w:tmpl w:val="6F6AB8B2"/>
    <w:lvl w:ilvl="0" w:tplc="D95E69CE">
      <w:numFmt w:val="bullet"/>
      <w:lvlText w:val=""/>
      <w:lvlJc w:val="left"/>
      <w:pPr>
        <w:ind w:left="26" w:hanging="567"/>
      </w:pPr>
      <w:rPr>
        <w:rFonts w:ascii="Symbol" w:eastAsia="Symbol" w:hAnsi="Symbol" w:cs="Symbol" w:hint="default"/>
        <w:w w:val="100"/>
        <w:sz w:val="24"/>
        <w:szCs w:val="24"/>
        <w:lang w:val="ru-RU" w:eastAsia="ru-RU" w:bidi="ru-RU"/>
      </w:rPr>
    </w:lvl>
    <w:lvl w:ilvl="1" w:tplc="5B542BAA">
      <w:numFmt w:val="bullet"/>
      <w:lvlText w:val="•"/>
      <w:lvlJc w:val="left"/>
      <w:pPr>
        <w:ind w:left="981" w:hanging="567"/>
      </w:pPr>
      <w:rPr>
        <w:rFonts w:hint="default"/>
        <w:lang w:val="ru-RU" w:eastAsia="ru-RU" w:bidi="ru-RU"/>
      </w:rPr>
    </w:lvl>
    <w:lvl w:ilvl="2" w:tplc="948664E8">
      <w:numFmt w:val="bullet"/>
      <w:lvlText w:val="•"/>
      <w:lvlJc w:val="left"/>
      <w:pPr>
        <w:ind w:left="1942" w:hanging="567"/>
      </w:pPr>
      <w:rPr>
        <w:rFonts w:hint="default"/>
        <w:lang w:val="ru-RU" w:eastAsia="ru-RU" w:bidi="ru-RU"/>
      </w:rPr>
    </w:lvl>
    <w:lvl w:ilvl="3" w:tplc="8602997A">
      <w:numFmt w:val="bullet"/>
      <w:lvlText w:val="•"/>
      <w:lvlJc w:val="left"/>
      <w:pPr>
        <w:ind w:left="2903" w:hanging="567"/>
      </w:pPr>
      <w:rPr>
        <w:rFonts w:hint="default"/>
        <w:lang w:val="ru-RU" w:eastAsia="ru-RU" w:bidi="ru-RU"/>
      </w:rPr>
    </w:lvl>
    <w:lvl w:ilvl="4" w:tplc="46FA5DBA">
      <w:numFmt w:val="bullet"/>
      <w:lvlText w:val="•"/>
      <w:lvlJc w:val="left"/>
      <w:pPr>
        <w:ind w:left="3864" w:hanging="567"/>
      </w:pPr>
      <w:rPr>
        <w:rFonts w:hint="default"/>
        <w:lang w:val="ru-RU" w:eastAsia="ru-RU" w:bidi="ru-RU"/>
      </w:rPr>
    </w:lvl>
    <w:lvl w:ilvl="5" w:tplc="06542966">
      <w:numFmt w:val="bullet"/>
      <w:lvlText w:val="•"/>
      <w:lvlJc w:val="left"/>
      <w:pPr>
        <w:ind w:left="4825" w:hanging="567"/>
      </w:pPr>
      <w:rPr>
        <w:rFonts w:hint="default"/>
        <w:lang w:val="ru-RU" w:eastAsia="ru-RU" w:bidi="ru-RU"/>
      </w:rPr>
    </w:lvl>
    <w:lvl w:ilvl="6" w:tplc="83782A64">
      <w:numFmt w:val="bullet"/>
      <w:lvlText w:val="•"/>
      <w:lvlJc w:val="left"/>
      <w:pPr>
        <w:ind w:left="5786" w:hanging="567"/>
      </w:pPr>
      <w:rPr>
        <w:rFonts w:hint="default"/>
        <w:lang w:val="ru-RU" w:eastAsia="ru-RU" w:bidi="ru-RU"/>
      </w:rPr>
    </w:lvl>
    <w:lvl w:ilvl="7" w:tplc="9828CB94">
      <w:numFmt w:val="bullet"/>
      <w:lvlText w:val="•"/>
      <w:lvlJc w:val="left"/>
      <w:pPr>
        <w:ind w:left="6747" w:hanging="567"/>
      </w:pPr>
      <w:rPr>
        <w:rFonts w:hint="default"/>
        <w:lang w:val="ru-RU" w:eastAsia="ru-RU" w:bidi="ru-RU"/>
      </w:rPr>
    </w:lvl>
    <w:lvl w:ilvl="8" w:tplc="793214A6">
      <w:numFmt w:val="bullet"/>
      <w:lvlText w:val="•"/>
      <w:lvlJc w:val="left"/>
      <w:pPr>
        <w:ind w:left="7708" w:hanging="567"/>
      </w:pPr>
      <w:rPr>
        <w:rFonts w:hint="default"/>
        <w:lang w:val="ru-RU" w:eastAsia="ru-RU" w:bidi="ru-RU"/>
      </w:rPr>
    </w:lvl>
  </w:abstractNum>
  <w:abstractNum w:abstractNumId="2" w15:restartNumberingAfterBreak="0">
    <w:nsid w:val="4F886B78"/>
    <w:multiLevelType w:val="multilevel"/>
    <w:tmpl w:val="D768629E"/>
    <w:lvl w:ilvl="0">
      <w:start w:val="2"/>
      <w:numFmt w:val="decimal"/>
      <w:lvlText w:val="%1"/>
      <w:lvlJc w:val="left"/>
      <w:pPr>
        <w:ind w:left="139" w:hanging="420"/>
        <w:jc w:val="left"/>
      </w:pPr>
      <w:rPr>
        <w:rFonts w:hint="default"/>
        <w:lang w:val="ru-RU" w:eastAsia="ru-RU" w:bidi="ru-RU"/>
      </w:rPr>
    </w:lvl>
    <w:lvl w:ilvl="1">
      <w:start w:val="3"/>
      <w:numFmt w:val="decimal"/>
      <w:lvlText w:val="%1.%2."/>
      <w:lvlJc w:val="left"/>
      <w:pPr>
        <w:ind w:left="139" w:hanging="420"/>
        <w:jc w:val="left"/>
      </w:pPr>
      <w:rPr>
        <w:rFonts w:ascii="Times New Roman" w:eastAsia="Times New Roman" w:hAnsi="Times New Roman" w:cs="Times New Roman" w:hint="default"/>
        <w:b w:val="0"/>
        <w:i w:val="0"/>
        <w:spacing w:val="0"/>
        <w:w w:val="100"/>
        <w:sz w:val="24"/>
        <w:szCs w:val="24"/>
        <w:lang w:val="ru-RU" w:eastAsia="ru-RU" w:bidi="ru-RU"/>
      </w:rPr>
    </w:lvl>
    <w:lvl w:ilvl="2">
      <w:numFmt w:val="bullet"/>
      <w:lvlText w:val="•"/>
      <w:lvlJc w:val="left"/>
      <w:pPr>
        <w:ind w:left="2038" w:hanging="420"/>
      </w:pPr>
      <w:rPr>
        <w:rFonts w:hint="default"/>
        <w:lang w:val="ru-RU" w:eastAsia="ru-RU" w:bidi="ru-RU"/>
      </w:rPr>
    </w:lvl>
    <w:lvl w:ilvl="3">
      <w:numFmt w:val="bullet"/>
      <w:lvlText w:val="•"/>
      <w:lvlJc w:val="left"/>
      <w:pPr>
        <w:ind w:left="2987" w:hanging="420"/>
      </w:pPr>
      <w:rPr>
        <w:rFonts w:hint="default"/>
        <w:lang w:val="ru-RU" w:eastAsia="ru-RU" w:bidi="ru-RU"/>
      </w:rPr>
    </w:lvl>
    <w:lvl w:ilvl="4">
      <w:numFmt w:val="bullet"/>
      <w:lvlText w:val="•"/>
      <w:lvlJc w:val="left"/>
      <w:pPr>
        <w:ind w:left="3936" w:hanging="420"/>
      </w:pPr>
      <w:rPr>
        <w:rFonts w:hint="default"/>
        <w:lang w:val="ru-RU" w:eastAsia="ru-RU" w:bidi="ru-RU"/>
      </w:rPr>
    </w:lvl>
    <w:lvl w:ilvl="5">
      <w:numFmt w:val="bullet"/>
      <w:lvlText w:val="•"/>
      <w:lvlJc w:val="left"/>
      <w:pPr>
        <w:ind w:left="4885" w:hanging="420"/>
      </w:pPr>
      <w:rPr>
        <w:rFonts w:hint="default"/>
        <w:lang w:val="ru-RU" w:eastAsia="ru-RU" w:bidi="ru-RU"/>
      </w:rPr>
    </w:lvl>
    <w:lvl w:ilvl="6">
      <w:numFmt w:val="bullet"/>
      <w:lvlText w:val="•"/>
      <w:lvlJc w:val="left"/>
      <w:pPr>
        <w:ind w:left="5834" w:hanging="420"/>
      </w:pPr>
      <w:rPr>
        <w:rFonts w:hint="default"/>
        <w:lang w:val="ru-RU" w:eastAsia="ru-RU" w:bidi="ru-RU"/>
      </w:rPr>
    </w:lvl>
    <w:lvl w:ilvl="7">
      <w:numFmt w:val="bullet"/>
      <w:lvlText w:val="•"/>
      <w:lvlJc w:val="left"/>
      <w:pPr>
        <w:ind w:left="6783" w:hanging="420"/>
      </w:pPr>
      <w:rPr>
        <w:rFonts w:hint="default"/>
        <w:lang w:val="ru-RU" w:eastAsia="ru-RU" w:bidi="ru-RU"/>
      </w:rPr>
    </w:lvl>
    <w:lvl w:ilvl="8">
      <w:numFmt w:val="bullet"/>
      <w:lvlText w:val="•"/>
      <w:lvlJc w:val="left"/>
      <w:pPr>
        <w:ind w:left="7732" w:hanging="420"/>
      </w:pPr>
      <w:rPr>
        <w:rFonts w:hint="default"/>
        <w:lang w:val="ru-RU" w:eastAsia="ru-RU" w:bidi="ru-RU"/>
      </w:rPr>
    </w:lvl>
  </w:abstractNum>
  <w:abstractNum w:abstractNumId="3" w15:restartNumberingAfterBreak="0">
    <w:nsid w:val="664D693B"/>
    <w:multiLevelType w:val="hybridMultilevel"/>
    <w:tmpl w:val="86167E0A"/>
    <w:lvl w:ilvl="0" w:tplc="B5F88C3E">
      <w:start w:val="1"/>
      <w:numFmt w:val="decimal"/>
      <w:lvlText w:val="%1."/>
      <w:lvlJc w:val="left"/>
      <w:pPr>
        <w:ind w:left="26" w:hanging="567"/>
        <w:jc w:val="left"/>
      </w:pPr>
      <w:rPr>
        <w:rFonts w:ascii="Times New Roman" w:eastAsia="Times New Roman" w:hAnsi="Times New Roman" w:cs="Times New Roman" w:hint="default"/>
        <w:spacing w:val="-25"/>
        <w:w w:val="100"/>
        <w:sz w:val="24"/>
        <w:szCs w:val="24"/>
        <w:lang w:val="ru-RU" w:eastAsia="ru-RU" w:bidi="ru-RU"/>
      </w:rPr>
    </w:lvl>
    <w:lvl w:ilvl="1" w:tplc="97E6C74C">
      <w:numFmt w:val="bullet"/>
      <w:lvlText w:val="•"/>
      <w:lvlJc w:val="left"/>
      <w:pPr>
        <w:ind w:left="981" w:hanging="567"/>
      </w:pPr>
      <w:rPr>
        <w:rFonts w:hint="default"/>
        <w:lang w:val="ru-RU" w:eastAsia="ru-RU" w:bidi="ru-RU"/>
      </w:rPr>
    </w:lvl>
    <w:lvl w:ilvl="2" w:tplc="4A86864E">
      <w:numFmt w:val="bullet"/>
      <w:lvlText w:val="•"/>
      <w:lvlJc w:val="left"/>
      <w:pPr>
        <w:ind w:left="1942" w:hanging="567"/>
      </w:pPr>
      <w:rPr>
        <w:rFonts w:hint="default"/>
        <w:lang w:val="ru-RU" w:eastAsia="ru-RU" w:bidi="ru-RU"/>
      </w:rPr>
    </w:lvl>
    <w:lvl w:ilvl="3" w:tplc="01FC8426">
      <w:numFmt w:val="bullet"/>
      <w:lvlText w:val="•"/>
      <w:lvlJc w:val="left"/>
      <w:pPr>
        <w:ind w:left="2903" w:hanging="567"/>
      </w:pPr>
      <w:rPr>
        <w:rFonts w:hint="default"/>
        <w:lang w:val="ru-RU" w:eastAsia="ru-RU" w:bidi="ru-RU"/>
      </w:rPr>
    </w:lvl>
    <w:lvl w:ilvl="4" w:tplc="49D6E540">
      <w:numFmt w:val="bullet"/>
      <w:lvlText w:val="•"/>
      <w:lvlJc w:val="left"/>
      <w:pPr>
        <w:ind w:left="3864" w:hanging="567"/>
      </w:pPr>
      <w:rPr>
        <w:rFonts w:hint="default"/>
        <w:lang w:val="ru-RU" w:eastAsia="ru-RU" w:bidi="ru-RU"/>
      </w:rPr>
    </w:lvl>
    <w:lvl w:ilvl="5" w:tplc="54EC4A2A">
      <w:numFmt w:val="bullet"/>
      <w:lvlText w:val="•"/>
      <w:lvlJc w:val="left"/>
      <w:pPr>
        <w:ind w:left="4825" w:hanging="567"/>
      </w:pPr>
      <w:rPr>
        <w:rFonts w:hint="default"/>
        <w:lang w:val="ru-RU" w:eastAsia="ru-RU" w:bidi="ru-RU"/>
      </w:rPr>
    </w:lvl>
    <w:lvl w:ilvl="6" w:tplc="7E609052">
      <w:numFmt w:val="bullet"/>
      <w:lvlText w:val="•"/>
      <w:lvlJc w:val="left"/>
      <w:pPr>
        <w:ind w:left="5786" w:hanging="567"/>
      </w:pPr>
      <w:rPr>
        <w:rFonts w:hint="default"/>
        <w:lang w:val="ru-RU" w:eastAsia="ru-RU" w:bidi="ru-RU"/>
      </w:rPr>
    </w:lvl>
    <w:lvl w:ilvl="7" w:tplc="270A0852">
      <w:numFmt w:val="bullet"/>
      <w:lvlText w:val="•"/>
      <w:lvlJc w:val="left"/>
      <w:pPr>
        <w:ind w:left="6747" w:hanging="567"/>
      </w:pPr>
      <w:rPr>
        <w:rFonts w:hint="default"/>
        <w:lang w:val="ru-RU" w:eastAsia="ru-RU" w:bidi="ru-RU"/>
      </w:rPr>
    </w:lvl>
    <w:lvl w:ilvl="8" w:tplc="7110E560">
      <w:numFmt w:val="bullet"/>
      <w:lvlText w:val="•"/>
      <w:lvlJc w:val="left"/>
      <w:pPr>
        <w:ind w:left="7708" w:hanging="567"/>
      </w:pPr>
      <w:rPr>
        <w:rFonts w:hint="default"/>
        <w:lang w:val="ru-RU" w:eastAsia="ru-RU" w:bidi="ru-RU"/>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CB549C"/>
    <w:rsid w:val="003707CB"/>
    <w:rsid w:val="005F7B51"/>
    <w:rsid w:val="007249E3"/>
    <w:rsid w:val="00B3767C"/>
    <w:rsid w:val="00CB5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5FE1A-223B-4DF2-8C72-9BEAB9A3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705B1"/>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8705B1"/>
    <w:tblPr>
      <w:tblInd w:w="0" w:type="dxa"/>
      <w:tblCellMar>
        <w:top w:w="0" w:type="dxa"/>
        <w:left w:w="0" w:type="dxa"/>
        <w:bottom w:w="0" w:type="dxa"/>
        <w:right w:w="0" w:type="dxa"/>
      </w:tblCellMar>
    </w:tblPr>
  </w:style>
  <w:style w:type="paragraph" w:styleId="a3">
    <w:name w:val="Body Text"/>
    <w:basedOn w:val="a"/>
    <w:uiPriority w:val="1"/>
    <w:qFormat/>
    <w:rsid w:val="008705B1"/>
    <w:rPr>
      <w:b/>
      <w:bCs/>
      <w:sz w:val="24"/>
      <w:szCs w:val="24"/>
    </w:rPr>
  </w:style>
  <w:style w:type="paragraph" w:styleId="a4">
    <w:name w:val="List Paragraph"/>
    <w:basedOn w:val="a"/>
    <w:uiPriority w:val="1"/>
    <w:qFormat/>
    <w:rsid w:val="008705B1"/>
  </w:style>
  <w:style w:type="paragraph" w:customStyle="1" w:styleId="TableParagraph">
    <w:name w:val="Table Paragraph"/>
    <w:basedOn w:val="a"/>
    <w:uiPriority w:val="1"/>
    <w:qFormat/>
    <w:rsid w:val="008705B1"/>
    <w:pPr>
      <w:ind w:left="167"/>
    </w:pPr>
  </w:style>
  <w:style w:type="paragraph" w:styleId="a5">
    <w:name w:val="header"/>
    <w:basedOn w:val="a"/>
    <w:link w:val="a6"/>
    <w:uiPriority w:val="99"/>
    <w:semiHidden/>
    <w:unhideWhenUsed/>
    <w:rsid w:val="000B45D2"/>
    <w:pPr>
      <w:tabs>
        <w:tab w:val="center" w:pos="4677"/>
        <w:tab w:val="right" w:pos="9355"/>
      </w:tabs>
    </w:pPr>
  </w:style>
  <w:style w:type="character" w:customStyle="1" w:styleId="a6">
    <w:name w:val="Верхний колонтитул Знак"/>
    <w:basedOn w:val="a0"/>
    <w:link w:val="a5"/>
    <w:uiPriority w:val="99"/>
    <w:semiHidden/>
    <w:rsid w:val="000B45D2"/>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0B45D2"/>
    <w:pPr>
      <w:tabs>
        <w:tab w:val="center" w:pos="4677"/>
        <w:tab w:val="right" w:pos="9355"/>
      </w:tabs>
    </w:pPr>
  </w:style>
  <w:style w:type="character" w:customStyle="1" w:styleId="a8">
    <w:name w:val="Нижний колонтитул Знак"/>
    <w:basedOn w:val="a0"/>
    <w:link w:val="a7"/>
    <w:uiPriority w:val="99"/>
    <w:semiHidden/>
    <w:rsid w:val="000B45D2"/>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659</Words>
  <Characters>3758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Anastasiya Nikadimova</cp:lastModifiedBy>
  <cp:revision>6</cp:revision>
  <dcterms:created xsi:type="dcterms:W3CDTF">2019-12-28T11:09:00Z</dcterms:created>
  <dcterms:modified xsi:type="dcterms:W3CDTF">2020-01-20T13:17:00Z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Microsoft® Word 2013</vt:lpwstr>
  </property>
  <property fmtid="{D5CDD505-2E9C-101B-9397-08002B2CF9AE}" pid="4" name="LastSaved">
    <vt:filetime>2019-12-28T00:00:00Z</vt:filetime>
  </property>
</Properties>
</file>